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b/>
          <w:bCs/>
          <w:sz w:val="44"/>
          <w:szCs w:val="44"/>
        </w:rPr>
      </w:pPr>
      <w:r>
        <w:rPr>
          <w:rFonts w:hint="eastAsia" w:ascii="宋体" w:hAnsi="宋体"/>
          <w:b/>
          <w:bCs/>
          <w:sz w:val="44"/>
          <w:szCs w:val="44"/>
        </w:rPr>
        <w:t>香洲区</w:t>
      </w:r>
      <w:r>
        <w:rPr>
          <w:rFonts w:ascii="宋体" w:hAnsi="宋体"/>
          <w:b/>
          <w:bCs/>
          <w:sz w:val="44"/>
          <w:szCs w:val="44"/>
        </w:rPr>
        <w:t>201</w:t>
      </w:r>
      <w:r>
        <w:rPr>
          <w:rFonts w:hint="eastAsia" w:ascii="宋体" w:hAnsi="宋体"/>
          <w:b/>
          <w:bCs/>
          <w:sz w:val="44"/>
          <w:szCs w:val="44"/>
          <w:lang w:val="en-US" w:eastAsia="zh-CN"/>
        </w:rPr>
        <w:t>9</w:t>
      </w:r>
      <w:r>
        <w:rPr>
          <w:rFonts w:hint="eastAsia" w:ascii="宋体" w:hAnsi="宋体"/>
          <w:b/>
          <w:bCs/>
          <w:sz w:val="44"/>
          <w:szCs w:val="44"/>
        </w:rPr>
        <w:t>年“香洲工匠”绿化修剪</w:t>
      </w:r>
    </w:p>
    <w:p>
      <w:pPr>
        <w:jc w:val="center"/>
        <w:rPr>
          <w:rFonts w:ascii="宋体"/>
          <w:b/>
          <w:bCs/>
          <w:sz w:val="44"/>
          <w:szCs w:val="44"/>
        </w:rPr>
      </w:pPr>
      <w:r>
        <w:rPr>
          <w:rFonts w:hint="eastAsia" w:ascii="宋体" w:hAnsi="宋体"/>
          <w:b/>
          <w:bCs/>
          <w:sz w:val="44"/>
          <w:szCs w:val="44"/>
        </w:rPr>
        <w:t>技能大赛技术文件</w:t>
      </w:r>
    </w:p>
    <w:p>
      <w:pPr>
        <w:ind w:firstLine="640" w:firstLineChars="200"/>
        <w:rPr>
          <w:rFonts w:hint="eastAsia" w:ascii="仿宋_GB2312" w:hAnsi="宋体" w:eastAsia="仿宋_GB2312"/>
          <w:sz w:val="32"/>
          <w:szCs w:val="32"/>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为了大力培育和弘扬精益求精的工匠精神，深入挖掘创新创业的技术能手，香洲区人民政府决定举办珠海市香洲区</w:t>
      </w:r>
      <w:r>
        <w:rPr>
          <w:rFonts w:ascii="仿宋_GB2312" w:hAnsi="宋体" w:eastAsia="仿宋_GB2312"/>
          <w:sz w:val="32"/>
          <w:szCs w:val="32"/>
        </w:rPr>
        <w:t>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年“香洲工匠”技能大赛，其中珠海市香洲区城市管理和综合执法局及珠海市风景园林和林业协会承办绿化修剪比赛项目，现制定</w:t>
      </w:r>
      <w:r>
        <w:rPr>
          <w:rFonts w:ascii="仿宋_GB2312" w:hAnsi="宋体" w:eastAsia="仿宋_GB2312"/>
          <w:sz w:val="32"/>
          <w:szCs w:val="32"/>
        </w:rPr>
        <w:t>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年“香洲工匠”绿化修剪技能大赛的技术文件。</w:t>
      </w:r>
    </w:p>
    <w:p>
      <w:pPr>
        <w:spacing w:line="360" w:lineRule="auto"/>
        <w:rPr>
          <w:rFonts w:ascii="仿宋_GB2312" w:hAnsi="宋体" w:eastAsia="仿宋_GB2312"/>
          <w:b/>
          <w:sz w:val="32"/>
          <w:szCs w:val="32"/>
        </w:rPr>
      </w:pPr>
      <w:r>
        <w:rPr>
          <w:rFonts w:hint="eastAsia" w:ascii="仿宋_GB2312" w:hAnsi="宋体" w:eastAsia="仿宋_GB2312"/>
          <w:b/>
          <w:sz w:val="32"/>
          <w:szCs w:val="32"/>
        </w:rPr>
        <w:t>一、比赛内容</w:t>
      </w:r>
    </w:p>
    <w:p>
      <w:pPr>
        <w:ind w:firstLine="540" w:firstLineChars="168"/>
        <w:rPr>
          <w:rFonts w:ascii="仿宋_GB2312" w:hAnsi="宋体" w:eastAsia="仿宋_GB2312"/>
          <w:b/>
          <w:sz w:val="32"/>
          <w:szCs w:val="32"/>
        </w:rPr>
      </w:pPr>
      <w:r>
        <w:rPr>
          <w:rFonts w:ascii="仿宋_GB2312" w:hAnsi="宋体" w:eastAsia="仿宋_GB2312"/>
          <w:b/>
          <w:sz w:val="32"/>
          <w:szCs w:val="32"/>
        </w:rPr>
        <w:t xml:space="preserve"> </w:t>
      </w:r>
      <w:r>
        <w:rPr>
          <w:rFonts w:hint="eastAsia" w:ascii="仿宋_GB2312" w:hAnsi="宋体" w:eastAsia="仿宋_GB2312"/>
          <w:sz w:val="32"/>
          <w:szCs w:val="32"/>
        </w:rPr>
        <w:t>本次绿化修剪技能大赛以绿化工绿化修剪职业岗位的要求为依据，分为初赛及复赛。初赛以灌木修剪为考评项目，复赛以修剪灌木、绿篱为考评项目，同时增加现场答辩环节作为加分项。</w:t>
      </w:r>
    </w:p>
    <w:p>
      <w:pPr>
        <w:spacing w:line="360" w:lineRule="auto"/>
        <w:rPr>
          <w:rFonts w:ascii="仿宋_GB2312" w:hAnsi="宋体" w:eastAsia="仿宋_GB2312"/>
          <w:b/>
          <w:sz w:val="32"/>
          <w:szCs w:val="32"/>
        </w:rPr>
      </w:pPr>
      <w:r>
        <w:rPr>
          <w:rFonts w:hint="eastAsia" w:ascii="仿宋_GB2312" w:hAnsi="宋体" w:eastAsia="仿宋_GB2312"/>
          <w:b/>
          <w:sz w:val="32"/>
          <w:szCs w:val="32"/>
        </w:rPr>
        <w:t>二、比赛原则</w:t>
      </w:r>
    </w:p>
    <w:p>
      <w:pPr>
        <w:spacing w:line="360" w:lineRule="auto"/>
        <w:rPr>
          <w:rFonts w:ascii="仿宋_GB2312" w:hAnsi="宋体" w:eastAsia="仿宋_GB2312"/>
          <w:b/>
          <w:sz w:val="32"/>
          <w:szCs w:val="32"/>
        </w:rPr>
      </w:pPr>
      <w:r>
        <w:rPr>
          <w:rFonts w:hint="eastAsia" w:ascii="仿宋_GB2312" w:hAnsi="宋体" w:eastAsia="仿宋_GB2312"/>
          <w:b/>
          <w:sz w:val="32"/>
          <w:szCs w:val="32"/>
        </w:rPr>
        <w:t>（一）公平原则</w:t>
      </w:r>
    </w:p>
    <w:p>
      <w:pPr>
        <w:ind w:firstLine="537" w:firstLineChars="168"/>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赛项组织与筹备的各环节均要公平、公正，通过公布技术文件、比赛样题，合理设计竞赛规则、程序、标准，公开执行过程，严格命题、裁判回避和接受监督制度等措施，保证比赛公平。</w:t>
      </w:r>
    </w:p>
    <w:p>
      <w:pPr>
        <w:spacing w:line="360" w:lineRule="auto"/>
        <w:rPr>
          <w:rFonts w:ascii="仿宋_GB2312" w:hAnsi="宋体" w:eastAsia="仿宋_GB2312"/>
          <w:b/>
          <w:sz w:val="32"/>
          <w:szCs w:val="32"/>
        </w:rPr>
      </w:pPr>
      <w:r>
        <w:rPr>
          <w:rFonts w:hint="eastAsia" w:ascii="仿宋_GB2312" w:hAnsi="宋体" w:eastAsia="仿宋_GB2312"/>
          <w:b/>
          <w:sz w:val="32"/>
          <w:szCs w:val="32"/>
        </w:rPr>
        <w:t>（二）开放原则</w:t>
      </w:r>
    </w:p>
    <w:p>
      <w:pPr>
        <w:ind w:firstLine="540" w:firstLineChars="168"/>
        <w:rPr>
          <w:rFonts w:ascii="仿宋_GB2312" w:hAnsi="宋体" w:eastAsia="仿宋_GB2312"/>
          <w:b/>
          <w:sz w:val="32"/>
          <w:szCs w:val="32"/>
        </w:rPr>
      </w:pPr>
      <w:r>
        <w:rPr>
          <w:rFonts w:ascii="仿宋_GB2312" w:hAnsi="宋体" w:eastAsia="仿宋_GB2312"/>
          <w:b/>
          <w:sz w:val="32"/>
          <w:szCs w:val="32"/>
        </w:rPr>
        <w:t xml:space="preserve"> </w:t>
      </w:r>
      <w:r>
        <w:rPr>
          <w:rFonts w:hint="eastAsia" w:ascii="仿宋_GB2312" w:hAnsi="宋体" w:eastAsia="仿宋_GB2312"/>
          <w:sz w:val="32"/>
          <w:szCs w:val="32"/>
        </w:rPr>
        <w:t>赛项设计源于绿化工绿化修剪职业岗位具体要求，能够展现通用性技术与选手创新能力；比赛过程在公平和不干扰比赛选手的前提下允许观摩，向社会开放。</w:t>
      </w:r>
    </w:p>
    <w:p>
      <w:pPr>
        <w:spacing w:line="360" w:lineRule="auto"/>
        <w:rPr>
          <w:rFonts w:ascii="仿宋_GB2312" w:hAnsi="宋体" w:eastAsia="仿宋_GB2312"/>
          <w:b/>
          <w:sz w:val="32"/>
          <w:szCs w:val="32"/>
        </w:rPr>
      </w:pPr>
      <w:r>
        <w:rPr>
          <w:rFonts w:hint="eastAsia" w:ascii="仿宋_GB2312" w:hAnsi="宋体" w:eastAsia="仿宋_GB2312"/>
          <w:b/>
          <w:sz w:val="32"/>
          <w:szCs w:val="32"/>
        </w:rPr>
        <w:t>三、比赛形式</w:t>
      </w:r>
    </w:p>
    <w:p>
      <w:pPr>
        <w:ind w:firstLine="540" w:firstLineChars="168"/>
        <w:rPr>
          <w:rFonts w:ascii="仿宋_GB2312" w:hAnsi="宋体" w:eastAsia="仿宋_GB2312"/>
          <w:sz w:val="32"/>
          <w:szCs w:val="32"/>
        </w:rPr>
      </w:pPr>
      <w:r>
        <w:rPr>
          <w:rFonts w:hint="eastAsia" w:ascii="仿宋_GB2312" w:hAnsi="宋体" w:eastAsia="仿宋_GB2312" w:cs="宋体"/>
          <w:b/>
          <w:kern w:val="0"/>
          <w:sz w:val="32"/>
          <w:szCs w:val="32"/>
        </w:rPr>
        <w:t>（一）初赛项目：</w:t>
      </w:r>
      <w:r>
        <w:rPr>
          <w:rFonts w:hint="eastAsia" w:ascii="仿宋_GB2312" w:hAnsi="宋体" w:eastAsia="仿宋_GB2312"/>
          <w:sz w:val="32"/>
          <w:szCs w:val="32"/>
        </w:rPr>
        <w:t>以灌木修剪为初赛考评项目，总分为</w:t>
      </w:r>
      <w:r>
        <w:rPr>
          <w:rFonts w:ascii="仿宋_GB2312" w:hAnsi="宋体" w:eastAsia="仿宋_GB2312"/>
          <w:sz w:val="32"/>
          <w:szCs w:val="32"/>
        </w:rPr>
        <w:t>100</w:t>
      </w:r>
      <w:r>
        <w:rPr>
          <w:rFonts w:hint="eastAsia" w:ascii="仿宋_GB2312" w:hAnsi="宋体" w:eastAsia="仿宋_GB2312"/>
          <w:sz w:val="32"/>
          <w:szCs w:val="32"/>
        </w:rPr>
        <w:t>分，以分数高低排名选出优良选手进入复赛，名额在</w:t>
      </w:r>
      <w:r>
        <w:rPr>
          <w:rFonts w:ascii="仿宋_GB2312" w:hAnsi="宋体" w:eastAsia="仿宋_GB2312"/>
          <w:sz w:val="32"/>
          <w:szCs w:val="32"/>
        </w:rPr>
        <w:t>30</w:t>
      </w:r>
      <w:r>
        <w:rPr>
          <w:rFonts w:hint="eastAsia" w:ascii="仿宋_GB2312" w:hAnsi="宋体" w:eastAsia="仿宋_GB2312"/>
          <w:sz w:val="32"/>
          <w:szCs w:val="32"/>
        </w:rPr>
        <w:t>名以内。</w:t>
      </w:r>
    </w:p>
    <w:p>
      <w:pPr>
        <w:ind w:firstLine="540" w:firstLineChars="168"/>
        <w:rPr>
          <w:rFonts w:ascii="仿宋_GB2312" w:hAnsi="宋体" w:eastAsia="仿宋_GB2312"/>
          <w:sz w:val="32"/>
          <w:szCs w:val="32"/>
        </w:rPr>
      </w:pPr>
      <w:r>
        <w:rPr>
          <w:rFonts w:hint="eastAsia" w:ascii="仿宋_GB2312" w:hAnsi="宋体" w:eastAsia="仿宋_GB2312"/>
          <w:b/>
          <w:sz w:val="32"/>
          <w:szCs w:val="32"/>
        </w:rPr>
        <w:t>（二）</w:t>
      </w:r>
      <w:r>
        <w:rPr>
          <w:rFonts w:hint="eastAsia" w:ascii="仿宋_GB2312" w:hAnsi="宋体" w:eastAsia="仿宋_GB2312" w:cs="宋体"/>
          <w:b/>
          <w:kern w:val="0"/>
          <w:sz w:val="32"/>
          <w:szCs w:val="32"/>
        </w:rPr>
        <w:t>复赛项目</w:t>
      </w:r>
      <w:r>
        <w:rPr>
          <w:rFonts w:hint="eastAsia" w:ascii="仿宋_GB2312" w:hAnsi="宋体" w:eastAsia="仿宋_GB2312"/>
          <w:b/>
          <w:sz w:val="32"/>
          <w:szCs w:val="32"/>
        </w:rPr>
        <w:t>：</w:t>
      </w:r>
      <w:r>
        <w:rPr>
          <w:rFonts w:hint="eastAsia" w:ascii="仿宋_GB2312" w:hAnsi="宋体" w:eastAsia="仿宋_GB2312"/>
          <w:sz w:val="32"/>
          <w:szCs w:val="32"/>
        </w:rPr>
        <w:t>以修剪灌木、绿篱为主要内容，以动手实操为主要评定依据，总分为</w:t>
      </w:r>
      <w:r>
        <w:rPr>
          <w:rFonts w:ascii="仿宋_GB2312" w:hAnsi="宋体" w:eastAsia="仿宋_GB2312"/>
          <w:sz w:val="32"/>
          <w:szCs w:val="32"/>
        </w:rPr>
        <w:t>100</w:t>
      </w:r>
      <w:r>
        <w:rPr>
          <w:rFonts w:hint="eastAsia" w:ascii="仿宋_GB2312" w:hAnsi="宋体" w:eastAsia="仿宋_GB2312"/>
          <w:sz w:val="32"/>
          <w:szCs w:val="32"/>
        </w:rPr>
        <w:t>分。为提高绿化工的专业知识水平，在复赛项目中增加现场答辩环节，其答辩内容主要与本选手参赛的修剪项目相关，分值为</w:t>
      </w:r>
      <w:r>
        <w:rPr>
          <w:rFonts w:ascii="仿宋_GB2312" w:hAnsi="宋体" w:eastAsia="仿宋_GB2312"/>
          <w:sz w:val="32"/>
          <w:szCs w:val="32"/>
        </w:rPr>
        <w:t>10</w:t>
      </w:r>
      <w:r>
        <w:rPr>
          <w:rFonts w:hint="eastAsia" w:ascii="仿宋_GB2312" w:hAnsi="宋体" w:eastAsia="仿宋_GB2312"/>
          <w:sz w:val="32"/>
          <w:szCs w:val="32"/>
        </w:rPr>
        <w:t>分，作为附加奖励分计入总分。现场答辩以评委提问的形式进行。</w:t>
      </w:r>
    </w:p>
    <w:p>
      <w:pPr>
        <w:spacing w:line="360" w:lineRule="auto"/>
        <w:rPr>
          <w:rFonts w:ascii="仿宋_GB2312" w:hAnsi="宋体" w:eastAsia="仿宋_GB2312"/>
          <w:b/>
          <w:sz w:val="32"/>
          <w:szCs w:val="32"/>
        </w:rPr>
      </w:pPr>
      <w:r>
        <w:rPr>
          <w:rFonts w:hint="eastAsia" w:ascii="仿宋_GB2312" w:hAnsi="宋体" w:eastAsia="仿宋_GB2312"/>
          <w:b/>
          <w:sz w:val="32"/>
          <w:szCs w:val="32"/>
        </w:rPr>
        <w:t>四、比赛材料</w:t>
      </w:r>
    </w:p>
    <w:p>
      <w:pPr>
        <w:ind w:firstLine="537" w:firstLineChars="168"/>
        <w:rPr>
          <w:rFonts w:ascii="仿宋_GB2312" w:hAnsi="宋体" w:eastAsia="仿宋_GB2312"/>
          <w:b/>
          <w:sz w:val="32"/>
          <w:szCs w:val="32"/>
        </w:rPr>
      </w:pPr>
      <w:r>
        <w:rPr>
          <w:rFonts w:hint="eastAsia" w:ascii="仿宋_GB2312" w:hAnsi="宋体" w:eastAsia="仿宋_GB2312"/>
          <w:sz w:val="32"/>
          <w:szCs w:val="32"/>
        </w:rPr>
        <w:t>参赛者自带手工绿篱剪比赛，禁止带油锯及测量工具。</w:t>
      </w:r>
    </w:p>
    <w:p>
      <w:pPr>
        <w:spacing w:line="360" w:lineRule="auto"/>
        <w:rPr>
          <w:rFonts w:ascii="仿宋_GB2312" w:hAnsi="宋体" w:eastAsia="仿宋_GB2312"/>
          <w:b/>
          <w:sz w:val="32"/>
          <w:szCs w:val="32"/>
        </w:rPr>
      </w:pPr>
      <w:r>
        <w:rPr>
          <w:rFonts w:hint="eastAsia" w:ascii="仿宋_GB2312" w:hAnsi="宋体" w:eastAsia="仿宋_GB2312"/>
          <w:b/>
          <w:sz w:val="32"/>
          <w:szCs w:val="32"/>
        </w:rPr>
        <w:t>五、评价要素</w:t>
      </w:r>
      <w:bookmarkStart w:id="0" w:name="_GoBack"/>
      <w:bookmarkEnd w:id="0"/>
    </w:p>
    <w:tbl>
      <w:tblPr>
        <w:tblStyle w:val="8"/>
        <w:tblW w:w="10020" w:type="dxa"/>
        <w:tblInd w:w="-850" w:type="dxa"/>
        <w:tblLayout w:type="fixed"/>
        <w:tblCellMar>
          <w:top w:w="0" w:type="dxa"/>
          <w:left w:w="108" w:type="dxa"/>
          <w:bottom w:w="0" w:type="dxa"/>
          <w:right w:w="108" w:type="dxa"/>
        </w:tblCellMar>
      </w:tblPr>
      <w:tblGrid>
        <w:gridCol w:w="532"/>
        <w:gridCol w:w="8456"/>
        <w:gridCol w:w="1032"/>
      </w:tblGrid>
      <w:tr>
        <w:tblPrEx>
          <w:tblLayout w:type="fixed"/>
          <w:tblCellMar>
            <w:top w:w="0" w:type="dxa"/>
            <w:left w:w="108" w:type="dxa"/>
            <w:bottom w:w="0" w:type="dxa"/>
            <w:right w:w="108" w:type="dxa"/>
          </w:tblCellMar>
        </w:tblPrEx>
        <w:trPr>
          <w:trHeight w:val="1125" w:hRule="atLeast"/>
        </w:trPr>
        <w:tc>
          <w:tcPr>
            <w:tcW w:w="10020" w:type="dxa"/>
            <w:gridSpan w:val="3"/>
            <w:tcBorders>
              <w:top w:val="nil"/>
              <w:left w:val="nil"/>
              <w:bottom w:val="nil"/>
              <w:right w:val="nil"/>
            </w:tcBorders>
            <w:vAlign w:val="center"/>
          </w:tcPr>
          <w:p>
            <w:pPr>
              <w:jc w:val="center"/>
              <w:rPr>
                <w:rFonts w:ascii="宋体" w:cs="宋体"/>
                <w:b/>
                <w:color w:val="000000"/>
                <w:kern w:val="0"/>
                <w:sz w:val="30"/>
                <w:szCs w:val="30"/>
              </w:rPr>
            </w:pPr>
            <w:r>
              <w:rPr>
                <w:rFonts w:hint="eastAsia" w:ascii="宋体" w:cs="宋体"/>
                <w:b/>
                <w:color w:val="000000"/>
                <w:kern w:val="0"/>
                <w:sz w:val="30"/>
                <w:szCs w:val="30"/>
              </w:rPr>
              <w:t>灌木修剪评分标准</w:t>
            </w:r>
          </w:p>
        </w:tc>
      </w:tr>
      <w:tr>
        <w:tblPrEx>
          <w:tblLayout w:type="fixed"/>
          <w:tblCellMar>
            <w:top w:w="0" w:type="dxa"/>
            <w:left w:w="108" w:type="dxa"/>
            <w:bottom w:w="0" w:type="dxa"/>
            <w:right w:w="108"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序号</w:t>
            </w:r>
          </w:p>
        </w:tc>
        <w:tc>
          <w:tcPr>
            <w:tcW w:w="8456"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评分的内容与标准</w:t>
            </w:r>
          </w:p>
        </w:tc>
        <w:tc>
          <w:tcPr>
            <w:tcW w:w="1032"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标准总分</w:t>
            </w:r>
          </w:p>
        </w:tc>
      </w:tr>
      <w:tr>
        <w:tblPrEx>
          <w:tblLayout w:type="fixed"/>
          <w:tblCellMar>
            <w:top w:w="0" w:type="dxa"/>
            <w:left w:w="108" w:type="dxa"/>
            <w:bottom w:w="0" w:type="dxa"/>
            <w:right w:w="108" w:type="dxa"/>
          </w:tblCellMar>
        </w:tblPrEx>
        <w:trPr>
          <w:trHeight w:val="600" w:hRule="atLeast"/>
        </w:trPr>
        <w:tc>
          <w:tcPr>
            <w:tcW w:w="53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845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修剪强度合理适中，能结合观花、观果、观叶灌木的生长习性、着花部位及萌芽性质进行修剪，保持观赏效果。</w:t>
            </w:r>
          </w:p>
        </w:tc>
        <w:tc>
          <w:tcPr>
            <w:tcW w:w="103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20</w:t>
            </w:r>
          </w:p>
        </w:tc>
      </w:tr>
      <w:tr>
        <w:tblPrEx>
          <w:tblLayout w:type="fixed"/>
          <w:tblCellMar>
            <w:top w:w="0" w:type="dxa"/>
            <w:left w:w="108" w:type="dxa"/>
            <w:bottom w:w="0" w:type="dxa"/>
            <w:right w:w="108" w:type="dxa"/>
          </w:tblCellMar>
        </w:tblPrEx>
        <w:trPr>
          <w:trHeight w:val="600" w:hRule="atLeast"/>
        </w:trPr>
        <w:tc>
          <w:tcPr>
            <w:tcW w:w="53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845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植株定型球形均匀，不偏冠，能找到球类中间出现的徒长枝、枯死枝、病虫枝并进行相应处置。</w:t>
            </w:r>
          </w:p>
        </w:tc>
        <w:tc>
          <w:tcPr>
            <w:tcW w:w="103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20</w:t>
            </w:r>
          </w:p>
        </w:tc>
      </w:tr>
      <w:tr>
        <w:tblPrEx>
          <w:tblLayout w:type="fixed"/>
          <w:tblCellMar>
            <w:top w:w="0" w:type="dxa"/>
            <w:left w:w="108" w:type="dxa"/>
            <w:bottom w:w="0" w:type="dxa"/>
            <w:right w:w="108" w:type="dxa"/>
          </w:tblCellMar>
        </w:tblPrEx>
        <w:trPr>
          <w:trHeight w:val="885" w:hRule="atLeast"/>
        </w:trPr>
        <w:tc>
          <w:tcPr>
            <w:tcW w:w="53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845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整体观感优美；能根据植物的生物学特征进行修剪，修剪后的灌木长度、宽度及灌木球半径达到要求标准（具体数据标准比赛时公布）。</w:t>
            </w:r>
          </w:p>
        </w:tc>
        <w:tc>
          <w:tcPr>
            <w:tcW w:w="103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15</w:t>
            </w:r>
          </w:p>
        </w:tc>
      </w:tr>
      <w:tr>
        <w:tblPrEx>
          <w:tblLayout w:type="fixed"/>
          <w:tblCellMar>
            <w:top w:w="0" w:type="dxa"/>
            <w:left w:w="108" w:type="dxa"/>
            <w:bottom w:w="0" w:type="dxa"/>
            <w:right w:w="108" w:type="dxa"/>
          </w:tblCellMar>
        </w:tblPrEx>
        <w:trPr>
          <w:trHeight w:val="600" w:hRule="atLeast"/>
        </w:trPr>
        <w:tc>
          <w:tcPr>
            <w:tcW w:w="53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845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合理使用修剪工具（大修剪刀、枝剪等），操作熟练。不得使用绿篱修剪机</w:t>
            </w:r>
          </w:p>
        </w:tc>
        <w:tc>
          <w:tcPr>
            <w:tcW w:w="103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20</w:t>
            </w:r>
          </w:p>
        </w:tc>
      </w:tr>
      <w:tr>
        <w:tblPrEx>
          <w:tblLayout w:type="fixed"/>
          <w:tblCellMar>
            <w:top w:w="0" w:type="dxa"/>
            <w:left w:w="108" w:type="dxa"/>
            <w:bottom w:w="0" w:type="dxa"/>
            <w:right w:w="108" w:type="dxa"/>
          </w:tblCellMar>
        </w:tblPrEx>
        <w:trPr>
          <w:trHeight w:val="600" w:hRule="atLeast"/>
        </w:trPr>
        <w:tc>
          <w:tcPr>
            <w:tcW w:w="53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4</w:t>
            </w:r>
          </w:p>
        </w:tc>
        <w:tc>
          <w:tcPr>
            <w:tcW w:w="845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修剪过程无使用任何线、绳等辅助工具</w:t>
            </w:r>
          </w:p>
        </w:tc>
        <w:tc>
          <w:tcPr>
            <w:tcW w:w="103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10</w:t>
            </w:r>
          </w:p>
        </w:tc>
      </w:tr>
      <w:tr>
        <w:tblPrEx>
          <w:tblLayout w:type="fixed"/>
          <w:tblCellMar>
            <w:top w:w="0" w:type="dxa"/>
            <w:left w:w="108" w:type="dxa"/>
            <w:bottom w:w="0" w:type="dxa"/>
            <w:right w:w="108" w:type="dxa"/>
          </w:tblCellMar>
        </w:tblPrEx>
        <w:trPr>
          <w:trHeight w:val="600" w:hRule="atLeast"/>
        </w:trPr>
        <w:tc>
          <w:tcPr>
            <w:tcW w:w="53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5</w:t>
            </w:r>
          </w:p>
        </w:tc>
        <w:tc>
          <w:tcPr>
            <w:tcW w:w="845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在规定的时间内完成修剪任务</w:t>
            </w:r>
          </w:p>
        </w:tc>
        <w:tc>
          <w:tcPr>
            <w:tcW w:w="103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10</w:t>
            </w:r>
          </w:p>
        </w:tc>
      </w:tr>
      <w:tr>
        <w:tblPrEx>
          <w:tblLayout w:type="fixed"/>
          <w:tblCellMar>
            <w:top w:w="0" w:type="dxa"/>
            <w:left w:w="108" w:type="dxa"/>
            <w:bottom w:w="0" w:type="dxa"/>
            <w:right w:w="108" w:type="dxa"/>
          </w:tblCellMar>
        </w:tblPrEx>
        <w:trPr>
          <w:trHeight w:val="600" w:hRule="atLeast"/>
        </w:trPr>
        <w:tc>
          <w:tcPr>
            <w:tcW w:w="53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6</w:t>
            </w:r>
          </w:p>
        </w:tc>
        <w:tc>
          <w:tcPr>
            <w:tcW w:w="845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修剪后收集枝叶，完成场地清理</w:t>
            </w:r>
          </w:p>
        </w:tc>
        <w:tc>
          <w:tcPr>
            <w:tcW w:w="103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5</w:t>
            </w:r>
          </w:p>
        </w:tc>
      </w:tr>
    </w:tbl>
    <w:p>
      <w:pPr>
        <w:spacing w:line="360" w:lineRule="auto"/>
        <w:rPr>
          <w:rFonts w:ascii="仿宋_GB2312" w:hAnsi="宋体" w:eastAsia="仿宋_GB2312"/>
          <w:b/>
          <w:sz w:val="32"/>
          <w:szCs w:val="32"/>
        </w:rPr>
      </w:pPr>
    </w:p>
    <w:tbl>
      <w:tblPr>
        <w:tblStyle w:val="8"/>
        <w:tblW w:w="10020" w:type="dxa"/>
        <w:tblInd w:w="-850" w:type="dxa"/>
        <w:tblLayout w:type="fixed"/>
        <w:tblCellMar>
          <w:top w:w="0" w:type="dxa"/>
          <w:left w:w="108" w:type="dxa"/>
          <w:bottom w:w="0" w:type="dxa"/>
          <w:right w:w="108" w:type="dxa"/>
        </w:tblCellMar>
      </w:tblPr>
      <w:tblGrid>
        <w:gridCol w:w="532"/>
        <w:gridCol w:w="8456"/>
        <w:gridCol w:w="1032"/>
      </w:tblGrid>
      <w:tr>
        <w:tblPrEx>
          <w:tblLayout w:type="fixed"/>
          <w:tblCellMar>
            <w:top w:w="0" w:type="dxa"/>
            <w:left w:w="108" w:type="dxa"/>
            <w:bottom w:w="0" w:type="dxa"/>
            <w:right w:w="108" w:type="dxa"/>
          </w:tblCellMar>
        </w:tblPrEx>
        <w:trPr>
          <w:trHeight w:val="1422" w:hRule="atLeast"/>
        </w:trPr>
        <w:tc>
          <w:tcPr>
            <w:tcW w:w="10020" w:type="dxa"/>
            <w:gridSpan w:val="3"/>
            <w:tcBorders>
              <w:top w:val="nil"/>
              <w:left w:val="nil"/>
              <w:bottom w:val="nil"/>
              <w:right w:val="nil"/>
            </w:tcBorders>
            <w:vAlign w:val="center"/>
          </w:tcPr>
          <w:p>
            <w:pPr>
              <w:widowControl/>
              <w:jc w:val="center"/>
              <w:rPr>
                <w:rFonts w:ascii="宋体" w:cs="宋体"/>
                <w:color w:val="000000"/>
                <w:kern w:val="0"/>
                <w:sz w:val="24"/>
              </w:rPr>
            </w:pPr>
            <w:r>
              <w:rPr>
                <w:rFonts w:hint="eastAsia" w:ascii="宋体" w:cs="宋体"/>
                <w:b/>
                <w:color w:val="000000"/>
                <w:kern w:val="0"/>
                <w:sz w:val="30"/>
                <w:szCs w:val="30"/>
              </w:rPr>
              <w:t>绿篱修剪评分标准</w:t>
            </w:r>
          </w:p>
        </w:tc>
      </w:tr>
      <w:tr>
        <w:tblPrEx>
          <w:tblLayout w:type="fixed"/>
          <w:tblCellMar>
            <w:top w:w="0" w:type="dxa"/>
            <w:left w:w="108" w:type="dxa"/>
            <w:bottom w:w="0" w:type="dxa"/>
            <w:right w:w="108" w:type="dxa"/>
          </w:tblCellMar>
        </w:tblPrEx>
        <w:trPr>
          <w:trHeight w:val="600" w:hRule="atLeast"/>
        </w:trPr>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序号</w:t>
            </w:r>
          </w:p>
        </w:tc>
        <w:tc>
          <w:tcPr>
            <w:tcW w:w="8456"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评分的内容与标准</w:t>
            </w:r>
          </w:p>
        </w:tc>
        <w:tc>
          <w:tcPr>
            <w:tcW w:w="1032"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标准总分</w:t>
            </w:r>
          </w:p>
        </w:tc>
      </w:tr>
      <w:tr>
        <w:tblPrEx>
          <w:tblLayout w:type="fixed"/>
          <w:tblCellMar>
            <w:top w:w="0" w:type="dxa"/>
            <w:left w:w="108" w:type="dxa"/>
            <w:bottom w:w="0" w:type="dxa"/>
            <w:right w:w="108" w:type="dxa"/>
          </w:tblCellMar>
        </w:tblPrEx>
        <w:trPr>
          <w:trHeight w:val="600" w:hRule="atLeast"/>
        </w:trPr>
        <w:tc>
          <w:tcPr>
            <w:tcW w:w="53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845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绿篱修剪强度合理适中，保持原绿篱形状，保留叶子不显光秃</w:t>
            </w:r>
          </w:p>
        </w:tc>
        <w:tc>
          <w:tcPr>
            <w:tcW w:w="103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30</w:t>
            </w:r>
          </w:p>
        </w:tc>
      </w:tr>
      <w:tr>
        <w:tblPrEx>
          <w:tblLayout w:type="fixed"/>
          <w:tblCellMar>
            <w:top w:w="0" w:type="dxa"/>
            <w:left w:w="108" w:type="dxa"/>
            <w:bottom w:w="0" w:type="dxa"/>
            <w:right w:w="108" w:type="dxa"/>
          </w:tblCellMar>
        </w:tblPrEx>
        <w:trPr>
          <w:trHeight w:val="600" w:hRule="atLeast"/>
        </w:trPr>
        <w:tc>
          <w:tcPr>
            <w:tcW w:w="53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845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整段绿篱修剪高度、宽度、转角统一整齐，轮廓清晰</w:t>
            </w:r>
            <w:r>
              <w:rPr>
                <w:rFonts w:ascii="宋体" w:cs="宋体"/>
                <w:color w:val="000000"/>
                <w:kern w:val="0"/>
                <w:sz w:val="24"/>
              </w:rPr>
              <w:t>,</w:t>
            </w:r>
            <w:r>
              <w:rPr>
                <w:rFonts w:hint="eastAsia" w:ascii="宋体" w:hAnsi="宋体" w:cs="宋体"/>
                <w:color w:val="000000"/>
                <w:kern w:val="0"/>
                <w:sz w:val="24"/>
              </w:rPr>
              <w:t>线条流畅</w:t>
            </w:r>
            <w:r>
              <w:rPr>
                <w:rFonts w:ascii="宋体" w:cs="宋体"/>
                <w:color w:val="000000"/>
                <w:kern w:val="0"/>
                <w:sz w:val="24"/>
              </w:rPr>
              <w:t>,</w:t>
            </w:r>
            <w:r>
              <w:rPr>
                <w:rFonts w:hint="eastAsia" w:ascii="宋体" w:hAnsi="宋体" w:cs="宋体"/>
                <w:color w:val="000000"/>
                <w:kern w:val="0"/>
                <w:sz w:val="24"/>
              </w:rPr>
              <w:t>边角分明</w:t>
            </w:r>
            <w:r>
              <w:rPr>
                <w:rFonts w:ascii="宋体" w:cs="宋体"/>
                <w:color w:val="000000"/>
                <w:kern w:val="0"/>
                <w:sz w:val="24"/>
              </w:rPr>
              <w:t>,</w:t>
            </w:r>
            <w:r>
              <w:rPr>
                <w:rFonts w:hint="eastAsia" w:ascii="宋体" w:hAnsi="宋体" w:cs="宋体"/>
                <w:color w:val="000000"/>
                <w:kern w:val="0"/>
                <w:sz w:val="24"/>
              </w:rPr>
              <w:t>整齐美观。修剪面平整不凹凸，外壁平直。</w:t>
            </w:r>
          </w:p>
        </w:tc>
        <w:tc>
          <w:tcPr>
            <w:tcW w:w="103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25</w:t>
            </w:r>
          </w:p>
        </w:tc>
      </w:tr>
      <w:tr>
        <w:tblPrEx>
          <w:tblLayout w:type="fixed"/>
          <w:tblCellMar>
            <w:top w:w="0" w:type="dxa"/>
            <w:left w:w="108" w:type="dxa"/>
            <w:bottom w:w="0" w:type="dxa"/>
            <w:right w:w="108" w:type="dxa"/>
          </w:tblCellMar>
        </w:tblPrEx>
        <w:trPr>
          <w:trHeight w:val="600" w:hRule="atLeast"/>
        </w:trPr>
        <w:tc>
          <w:tcPr>
            <w:tcW w:w="53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845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合理使用修剪工具（大修剪刀、枝剪等），操作熟练。不得使用绿篱修剪机</w:t>
            </w:r>
          </w:p>
        </w:tc>
        <w:tc>
          <w:tcPr>
            <w:tcW w:w="103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20</w:t>
            </w:r>
          </w:p>
        </w:tc>
      </w:tr>
      <w:tr>
        <w:tblPrEx>
          <w:tblLayout w:type="fixed"/>
          <w:tblCellMar>
            <w:top w:w="0" w:type="dxa"/>
            <w:left w:w="108" w:type="dxa"/>
            <w:bottom w:w="0" w:type="dxa"/>
            <w:right w:w="108" w:type="dxa"/>
          </w:tblCellMar>
        </w:tblPrEx>
        <w:trPr>
          <w:trHeight w:val="600" w:hRule="atLeast"/>
        </w:trPr>
        <w:tc>
          <w:tcPr>
            <w:tcW w:w="53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4</w:t>
            </w:r>
          </w:p>
        </w:tc>
        <w:tc>
          <w:tcPr>
            <w:tcW w:w="845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修剪过程无使用任何线、绳等辅助工具</w:t>
            </w:r>
          </w:p>
        </w:tc>
        <w:tc>
          <w:tcPr>
            <w:tcW w:w="103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10</w:t>
            </w:r>
          </w:p>
        </w:tc>
      </w:tr>
      <w:tr>
        <w:tblPrEx>
          <w:tblLayout w:type="fixed"/>
          <w:tblCellMar>
            <w:top w:w="0" w:type="dxa"/>
            <w:left w:w="108" w:type="dxa"/>
            <w:bottom w:w="0" w:type="dxa"/>
            <w:right w:w="108" w:type="dxa"/>
          </w:tblCellMar>
        </w:tblPrEx>
        <w:trPr>
          <w:trHeight w:val="600" w:hRule="atLeast"/>
        </w:trPr>
        <w:tc>
          <w:tcPr>
            <w:tcW w:w="53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5</w:t>
            </w:r>
          </w:p>
        </w:tc>
        <w:tc>
          <w:tcPr>
            <w:tcW w:w="845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在规定的时间内完成修剪任务</w:t>
            </w:r>
          </w:p>
        </w:tc>
        <w:tc>
          <w:tcPr>
            <w:tcW w:w="103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10</w:t>
            </w:r>
          </w:p>
        </w:tc>
      </w:tr>
      <w:tr>
        <w:tblPrEx>
          <w:tblLayout w:type="fixed"/>
          <w:tblCellMar>
            <w:top w:w="0" w:type="dxa"/>
            <w:left w:w="108" w:type="dxa"/>
            <w:bottom w:w="0" w:type="dxa"/>
            <w:right w:w="108" w:type="dxa"/>
          </w:tblCellMar>
        </w:tblPrEx>
        <w:trPr>
          <w:trHeight w:val="600" w:hRule="atLeast"/>
        </w:trPr>
        <w:tc>
          <w:tcPr>
            <w:tcW w:w="532"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6</w:t>
            </w:r>
          </w:p>
        </w:tc>
        <w:tc>
          <w:tcPr>
            <w:tcW w:w="845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修剪后收集枝叶，完成场地清理修剪后及时清理地面、篱面的残枝。</w:t>
            </w:r>
          </w:p>
        </w:tc>
        <w:tc>
          <w:tcPr>
            <w:tcW w:w="103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5</w:t>
            </w:r>
          </w:p>
        </w:tc>
      </w:tr>
    </w:tbl>
    <w:p>
      <w:pPr>
        <w:spacing w:line="360" w:lineRule="auto"/>
        <w:rPr>
          <w:rFonts w:ascii="仿宋_GB2312" w:hAnsi="宋体" w:eastAsia="仿宋_GB2312"/>
          <w:b/>
          <w:sz w:val="32"/>
          <w:szCs w:val="32"/>
        </w:rPr>
      </w:pPr>
    </w:p>
    <w:sectPr>
      <w:headerReference r:id="rId3" w:type="default"/>
      <w:footerReference r:id="rId4" w:type="default"/>
      <w:pgSz w:w="11906" w:h="16838"/>
      <w:pgMar w:top="1440" w:right="1800"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tab/>
    </w: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159"/>
    <w:rsid w:val="00000D22"/>
    <w:rsid w:val="000329E3"/>
    <w:rsid w:val="00085BF9"/>
    <w:rsid w:val="000871B3"/>
    <w:rsid w:val="000A3143"/>
    <w:rsid w:val="000D33E0"/>
    <w:rsid w:val="001261C0"/>
    <w:rsid w:val="001F7491"/>
    <w:rsid w:val="00205145"/>
    <w:rsid w:val="002139FF"/>
    <w:rsid w:val="00250947"/>
    <w:rsid w:val="002658B7"/>
    <w:rsid w:val="002E58C6"/>
    <w:rsid w:val="00316F15"/>
    <w:rsid w:val="003170B7"/>
    <w:rsid w:val="003506BA"/>
    <w:rsid w:val="00361632"/>
    <w:rsid w:val="00385254"/>
    <w:rsid w:val="00391D1B"/>
    <w:rsid w:val="00394BB0"/>
    <w:rsid w:val="003A6F51"/>
    <w:rsid w:val="003D7BD2"/>
    <w:rsid w:val="00406034"/>
    <w:rsid w:val="00420422"/>
    <w:rsid w:val="004817BE"/>
    <w:rsid w:val="0049511F"/>
    <w:rsid w:val="004A35FE"/>
    <w:rsid w:val="004B1071"/>
    <w:rsid w:val="004C6716"/>
    <w:rsid w:val="00524A29"/>
    <w:rsid w:val="00536147"/>
    <w:rsid w:val="00540956"/>
    <w:rsid w:val="005477B6"/>
    <w:rsid w:val="00552D71"/>
    <w:rsid w:val="0057473B"/>
    <w:rsid w:val="005B2410"/>
    <w:rsid w:val="005D3A47"/>
    <w:rsid w:val="005D598A"/>
    <w:rsid w:val="005F6105"/>
    <w:rsid w:val="00611FC1"/>
    <w:rsid w:val="00641A11"/>
    <w:rsid w:val="00672ED5"/>
    <w:rsid w:val="006A3EF9"/>
    <w:rsid w:val="006D27D6"/>
    <w:rsid w:val="006E4E70"/>
    <w:rsid w:val="006F7D2D"/>
    <w:rsid w:val="006F7D7F"/>
    <w:rsid w:val="00707F7F"/>
    <w:rsid w:val="007864E7"/>
    <w:rsid w:val="00796C38"/>
    <w:rsid w:val="007C3C68"/>
    <w:rsid w:val="0080125A"/>
    <w:rsid w:val="00801E64"/>
    <w:rsid w:val="008041BE"/>
    <w:rsid w:val="008A43C5"/>
    <w:rsid w:val="008C1D0B"/>
    <w:rsid w:val="008D1BDF"/>
    <w:rsid w:val="00930F86"/>
    <w:rsid w:val="0093678F"/>
    <w:rsid w:val="00957AE1"/>
    <w:rsid w:val="0098212F"/>
    <w:rsid w:val="009829F2"/>
    <w:rsid w:val="00993C32"/>
    <w:rsid w:val="009D6ED0"/>
    <w:rsid w:val="009E3555"/>
    <w:rsid w:val="00A00BAC"/>
    <w:rsid w:val="00A01D3D"/>
    <w:rsid w:val="00A405D5"/>
    <w:rsid w:val="00A765A9"/>
    <w:rsid w:val="00A958A0"/>
    <w:rsid w:val="00AC0625"/>
    <w:rsid w:val="00AC17FC"/>
    <w:rsid w:val="00AC7754"/>
    <w:rsid w:val="00AE204E"/>
    <w:rsid w:val="00AF381E"/>
    <w:rsid w:val="00B2511B"/>
    <w:rsid w:val="00B502C1"/>
    <w:rsid w:val="00B63182"/>
    <w:rsid w:val="00B80032"/>
    <w:rsid w:val="00B87B78"/>
    <w:rsid w:val="00B91D66"/>
    <w:rsid w:val="00C00904"/>
    <w:rsid w:val="00C00D83"/>
    <w:rsid w:val="00C04ABD"/>
    <w:rsid w:val="00C46F82"/>
    <w:rsid w:val="00C50445"/>
    <w:rsid w:val="00C74E27"/>
    <w:rsid w:val="00C87FB7"/>
    <w:rsid w:val="00C906A0"/>
    <w:rsid w:val="00CA18FB"/>
    <w:rsid w:val="00CF11A0"/>
    <w:rsid w:val="00D1428F"/>
    <w:rsid w:val="00D32E22"/>
    <w:rsid w:val="00DB0F42"/>
    <w:rsid w:val="00DD0C5E"/>
    <w:rsid w:val="00E07273"/>
    <w:rsid w:val="00E22C2A"/>
    <w:rsid w:val="00E47A30"/>
    <w:rsid w:val="00E65159"/>
    <w:rsid w:val="00E819BA"/>
    <w:rsid w:val="00E96ADD"/>
    <w:rsid w:val="00EA02A0"/>
    <w:rsid w:val="00EB0A20"/>
    <w:rsid w:val="00EB1E3B"/>
    <w:rsid w:val="00EE5AA0"/>
    <w:rsid w:val="00EF1FEE"/>
    <w:rsid w:val="00EF6AAC"/>
    <w:rsid w:val="00F21FB8"/>
    <w:rsid w:val="00F507E2"/>
    <w:rsid w:val="00F72C04"/>
    <w:rsid w:val="00F812A5"/>
    <w:rsid w:val="00F81836"/>
    <w:rsid w:val="00FB630E"/>
    <w:rsid w:val="00FD36A8"/>
    <w:rsid w:val="08065097"/>
    <w:rsid w:val="1EBA4A18"/>
    <w:rsid w:val="215F68DE"/>
    <w:rsid w:val="320753A0"/>
    <w:rsid w:val="4A680EE3"/>
    <w:rsid w:val="5A341B2F"/>
    <w:rsid w:val="7BA65234"/>
    <w:rsid w:val="7D1C3B4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qFormat/>
    <w:uiPriority w:val="99"/>
    <w:pPr>
      <w:jc w:val="left"/>
    </w:pPr>
  </w:style>
  <w:style w:type="paragraph" w:styleId="3">
    <w:name w:val="Date"/>
    <w:basedOn w:val="1"/>
    <w:next w:val="1"/>
    <w:link w:val="13"/>
    <w:qFormat/>
    <w:uiPriority w:val="99"/>
    <w:pPr>
      <w:ind w:left="100" w:leftChars="2500"/>
    </w:p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qFormat/>
    <w:uiPriority w:val="99"/>
    <w:rPr>
      <w:rFonts w:cs="Times New Roman"/>
      <w:color w:val="0000FF"/>
      <w:u w:val="single"/>
    </w:rPr>
  </w:style>
  <w:style w:type="character" w:styleId="11">
    <w:name w:val="annotation reference"/>
    <w:basedOn w:val="9"/>
    <w:qFormat/>
    <w:uiPriority w:val="99"/>
    <w:rPr>
      <w:rFonts w:cs="Times New Roman"/>
      <w:sz w:val="21"/>
    </w:rPr>
  </w:style>
  <w:style w:type="character" w:customStyle="1" w:styleId="12">
    <w:name w:val="Comment Text Char"/>
    <w:basedOn w:val="9"/>
    <w:link w:val="2"/>
    <w:qFormat/>
    <w:locked/>
    <w:uiPriority w:val="99"/>
    <w:rPr>
      <w:rFonts w:cs="Times New Roman"/>
      <w:sz w:val="24"/>
      <w:szCs w:val="24"/>
    </w:rPr>
  </w:style>
  <w:style w:type="character" w:customStyle="1" w:styleId="13">
    <w:name w:val="Date Char"/>
    <w:basedOn w:val="9"/>
    <w:link w:val="3"/>
    <w:qFormat/>
    <w:locked/>
    <w:uiPriority w:val="99"/>
    <w:rPr>
      <w:rFonts w:cs="Times New Roman"/>
      <w:kern w:val="2"/>
      <w:sz w:val="24"/>
    </w:rPr>
  </w:style>
  <w:style w:type="character" w:customStyle="1" w:styleId="14">
    <w:name w:val="Balloon Text Char"/>
    <w:basedOn w:val="9"/>
    <w:link w:val="4"/>
    <w:qFormat/>
    <w:locked/>
    <w:uiPriority w:val="99"/>
    <w:rPr>
      <w:rFonts w:cs="Times New Roman"/>
      <w:sz w:val="2"/>
    </w:rPr>
  </w:style>
  <w:style w:type="character" w:customStyle="1" w:styleId="15">
    <w:name w:val="Footer Char"/>
    <w:basedOn w:val="9"/>
    <w:link w:val="5"/>
    <w:qFormat/>
    <w:locked/>
    <w:uiPriority w:val="99"/>
    <w:rPr>
      <w:rFonts w:cs="Times New Roman"/>
      <w:sz w:val="18"/>
      <w:szCs w:val="18"/>
    </w:rPr>
  </w:style>
  <w:style w:type="character" w:customStyle="1" w:styleId="16">
    <w:name w:val="Header Char"/>
    <w:basedOn w:val="9"/>
    <w:link w:val="6"/>
    <w:qFormat/>
    <w:locked/>
    <w:uiPriority w:val="99"/>
    <w:rPr>
      <w:rFonts w:cs="Times New Roman"/>
      <w:sz w:val="18"/>
      <w:szCs w:val="18"/>
    </w:rPr>
  </w:style>
  <w:style w:type="paragraph" w:styleId="17">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180</Words>
  <Characters>1028</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2018-07-03T01:12:00Z</dcterms:created>
  <dc:creator>walkinnet</dc:creator>
  <cp:lastModifiedBy>DELL</cp:lastModifiedBy>
  <cp:lastPrinted>2018-07-03T01:11:00Z</cp:lastPrinted>
  <dcterms:modified xsi:type="dcterms:W3CDTF">2019-06-05T03:45:54Z</dcterms:modified>
  <dc:title>2014珠海市职业技能竞赛</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